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0A2D" w:rsidRDefault="005E0A2D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5E0A2D">
        <w:rPr>
          <w:rFonts w:ascii="Times New Roman" w:hAnsi="Times New Roman" w:cs="Times New Roman"/>
          <w:b/>
          <w:bCs/>
          <w:caps/>
          <w:sz w:val="24"/>
          <w:szCs w:val="24"/>
          <w:lang w:bidi="ru-RU"/>
        </w:rPr>
        <w:t>Российская академия наук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 </w:t>
      </w:r>
    </w:p>
    <w:p w:rsidR="005E0A2D" w:rsidRDefault="0065415F" w:rsidP="0065415F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ФГБУН «</w:t>
      </w:r>
      <w:r w:rsidRPr="00C9639A">
        <w:rPr>
          <w:rFonts w:ascii="Times New Roman" w:hAnsi="Times New Roman" w:cs="Times New Roman"/>
          <w:b/>
          <w:bCs/>
          <w:sz w:val="24"/>
          <w:szCs w:val="24"/>
          <w:lang w:bidi="ru-RU"/>
        </w:rPr>
        <w:t>Институт проблем региональной экономики</w:t>
      </w: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>»</w:t>
      </w:r>
    </w:p>
    <w:p w:rsidR="0065415F" w:rsidRDefault="0065415F" w:rsidP="0065415F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65415F" w:rsidRDefault="0065415F" w:rsidP="0065415F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академия естественных наук</w:t>
      </w:r>
    </w:p>
    <w:p w:rsidR="0065415F" w:rsidRDefault="0065415F" w:rsidP="0065415F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:rsidR="00E81C2E" w:rsidRDefault="0050307F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  <w:r>
        <w:rPr>
          <w:rFonts w:ascii="Times New Roman" w:hAnsi="Times New Roman" w:cs="Times New Roman"/>
          <w:b/>
          <w:sz w:val="24"/>
          <w:lang w:bidi="ru-RU"/>
        </w:rPr>
        <w:t>ФГБОУ ВО</w:t>
      </w:r>
      <w:r w:rsidR="00E81C2E" w:rsidRPr="00E81C2E">
        <w:rPr>
          <w:rFonts w:ascii="Times New Roman" w:hAnsi="Times New Roman" w:cs="Times New Roman"/>
          <w:b/>
          <w:sz w:val="24"/>
          <w:lang w:bidi="ru-RU"/>
        </w:rPr>
        <w:t xml:space="preserve"> «Липецкий государственный технический университет»</w:t>
      </w:r>
    </w:p>
    <w:p w:rsidR="0065415F" w:rsidRPr="0065415F" w:rsidRDefault="0065415F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65415F" w:rsidRPr="0065415F" w:rsidRDefault="0065415F" w:rsidP="009857FA">
      <w:pPr>
        <w:autoSpaceDE w:val="0"/>
        <w:autoSpaceDN w:val="0"/>
        <w:spacing w:line="208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5415F">
        <w:rPr>
          <w:rFonts w:ascii="Times New Roman" w:hAnsi="Times New Roman" w:cs="Times New Roman"/>
          <w:b/>
          <w:sz w:val="24"/>
          <w:szCs w:val="24"/>
          <w:lang w:bidi="ru-RU"/>
        </w:rPr>
        <w:t>ФГБОУ ВО «Липецкий государственный педагогический униве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р</w:t>
      </w:r>
      <w:r w:rsidRPr="0065415F">
        <w:rPr>
          <w:rFonts w:ascii="Times New Roman" w:hAnsi="Times New Roman" w:cs="Times New Roman"/>
          <w:b/>
          <w:sz w:val="24"/>
          <w:szCs w:val="24"/>
          <w:lang w:bidi="ru-RU"/>
        </w:rPr>
        <w:t xml:space="preserve">ситет </w:t>
      </w:r>
      <w:r w:rsidRPr="0065415F">
        <w:rPr>
          <w:rFonts w:ascii="Times New Roman" w:hAnsi="Times New Roman" w:cs="Times New Roman"/>
          <w:b/>
          <w:sz w:val="24"/>
          <w:szCs w:val="24"/>
        </w:rPr>
        <w:t>имени П.П. Семенова-Тян-Шанского</w:t>
      </w:r>
      <w:r w:rsidRPr="0065415F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</w:p>
    <w:p w:rsidR="009857FA" w:rsidRPr="0065415F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BD1FC6" w:rsidRPr="00BD1FC6" w:rsidRDefault="00BD1FC6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1FC6">
        <w:rPr>
          <w:rFonts w:ascii="Times New Roman" w:hAnsi="Times New Roman" w:cs="Times New Roman"/>
          <w:b/>
          <w:sz w:val="24"/>
          <w:szCs w:val="24"/>
        </w:rPr>
        <w:t>Министерство экономики Республики Беларусь</w:t>
      </w:r>
    </w:p>
    <w:p w:rsidR="00E81C2E" w:rsidRPr="00BD1FC6" w:rsidRDefault="00BD1FC6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BD1FC6">
        <w:rPr>
          <w:rFonts w:ascii="Times New Roman" w:hAnsi="Times New Roman" w:cs="Times New Roman"/>
          <w:b/>
          <w:sz w:val="24"/>
          <w:szCs w:val="24"/>
        </w:rPr>
        <w:t>ГНУ</w:t>
      </w:r>
      <w:r w:rsidR="005E0A2D" w:rsidRPr="00BD1FC6">
        <w:rPr>
          <w:rFonts w:ascii="Times New Roman" w:hAnsi="Times New Roman" w:cs="Times New Roman"/>
          <w:b/>
          <w:sz w:val="24"/>
          <w:szCs w:val="24"/>
        </w:rPr>
        <w:t xml:space="preserve"> «Научно-исследовательский экономический институт»</w:t>
      </w:r>
    </w:p>
    <w:p w:rsidR="00492C8F" w:rsidRDefault="00492C8F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noProof/>
        </w:rPr>
      </w:pPr>
    </w:p>
    <w:p w:rsidR="006B503B" w:rsidRDefault="006B503B" w:rsidP="009857FA">
      <w:pPr>
        <w:autoSpaceDE w:val="0"/>
        <w:autoSpaceDN w:val="0"/>
        <w:spacing w:line="240" w:lineRule="auto"/>
        <w:ind w:firstLine="0"/>
        <w:jc w:val="center"/>
        <w:rPr>
          <w:noProof/>
        </w:rPr>
      </w:pPr>
    </w:p>
    <w:p w:rsidR="006B503B" w:rsidRDefault="006B503B" w:rsidP="009857FA">
      <w:pPr>
        <w:autoSpaceDE w:val="0"/>
        <w:autoSpaceDN w:val="0"/>
        <w:spacing w:line="240" w:lineRule="auto"/>
        <w:ind w:firstLine="0"/>
        <w:jc w:val="center"/>
        <w:rPr>
          <w:noProof/>
        </w:rPr>
      </w:pPr>
    </w:p>
    <w:p w:rsidR="006B503B" w:rsidRDefault="006B503B" w:rsidP="009857FA">
      <w:pPr>
        <w:autoSpaceDE w:val="0"/>
        <w:autoSpaceDN w:val="0"/>
        <w:spacing w:line="240" w:lineRule="auto"/>
        <w:ind w:firstLine="0"/>
        <w:jc w:val="center"/>
        <w:rPr>
          <w:noProof/>
        </w:rPr>
      </w:pP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2117F6" w:rsidRDefault="002117F6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492C8F" w:rsidRDefault="00492C8F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9857FA" w:rsidRDefault="009857FA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lang w:bidi="ru-RU"/>
        </w:rPr>
      </w:pP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44"/>
          <w:lang w:bidi="ru-RU"/>
        </w:rPr>
      </w:pPr>
      <w:r w:rsidRPr="00E81C2E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193040</wp:posOffset>
            </wp:positionV>
            <wp:extent cx="9525" cy="9525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ite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1C2E">
        <w:rPr>
          <w:rFonts w:ascii="Times New Roman" w:hAnsi="Times New Roman" w:cs="Times New Roman"/>
          <w:b/>
          <w:sz w:val="44"/>
          <w:lang w:bidi="ru-RU"/>
        </w:rPr>
        <w:t>ИНФОРМАЦИОННОЕ ПИСЬМО</w:t>
      </w: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E0272" w:rsidRPr="00AE0272" w:rsidRDefault="00AE0272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AE0272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AE0272">
        <w:rPr>
          <w:rFonts w:ascii="Times New Roman" w:hAnsi="Times New Roman" w:cs="Times New Roman"/>
          <w:b/>
          <w:sz w:val="32"/>
          <w:szCs w:val="32"/>
        </w:rPr>
        <w:t xml:space="preserve"> Международная научно-практическая конференция</w:t>
      </w:r>
    </w:p>
    <w:p w:rsidR="00E81C2E" w:rsidRPr="00E81C2E" w:rsidRDefault="00E81C2E" w:rsidP="009857FA">
      <w:pPr>
        <w:autoSpaceDE w:val="0"/>
        <w:autoSpaceDN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lang w:bidi="ru-RU"/>
        </w:rPr>
      </w:pPr>
    </w:p>
    <w:p w:rsidR="00E81C2E" w:rsidRPr="00AE0272" w:rsidRDefault="00E81C2E" w:rsidP="009857FA">
      <w:pPr>
        <w:autoSpaceDE w:val="0"/>
        <w:autoSpaceDN w:val="0"/>
        <w:spacing w:line="240" w:lineRule="auto"/>
        <w:ind w:firstLine="0"/>
        <w:rPr>
          <w:rFonts w:ascii="Times New Roman" w:hAnsi="Times New Roman" w:cs="Times New Roman"/>
          <w:b/>
          <w:sz w:val="48"/>
          <w:szCs w:val="48"/>
          <w:lang w:bidi="ru-RU"/>
        </w:rPr>
      </w:pPr>
    </w:p>
    <w:p w:rsidR="00AE0272" w:rsidRDefault="00E81C2E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AE0272">
        <w:rPr>
          <w:rFonts w:ascii="Times New Roman" w:hAnsi="Times New Roman" w:cs="Times New Roman"/>
          <w:b/>
          <w:bCs/>
          <w:sz w:val="48"/>
          <w:szCs w:val="48"/>
          <w:lang w:bidi="ru-RU"/>
        </w:rPr>
        <w:t>«</w:t>
      </w:r>
      <w:r w:rsidR="00AE0272" w:rsidRPr="00AE0272">
        <w:rPr>
          <w:rFonts w:ascii="Times New Roman" w:hAnsi="Times New Roman" w:cs="Times New Roman"/>
          <w:b/>
          <w:sz w:val="48"/>
          <w:szCs w:val="48"/>
        </w:rPr>
        <w:t xml:space="preserve">Ключевые позиции и точки развития экономики и промышленности: </w:t>
      </w:r>
    </w:p>
    <w:p w:rsidR="00E81C2E" w:rsidRP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AE0272">
        <w:rPr>
          <w:rFonts w:ascii="Times New Roman" w:hAnsi="Times New Roman" w:cs="Times New Roman"/>
          <w:b/>
          <w:sz w:val="48"/>
          <w:szCs w:val="48"/>
        </w:rPr>
        <w:t>наука и практика</w:t>
      </w:r>
      <w:r w:rsidR="00E81C2E" w:rsidRPr="00AE0272">
        <w:rPr>
          <w:rFonts w:ascii="Times New Roman" w:hAnsi="Times New Roman" w:cs="Times New Roman"/>
          <w:b/>
          <w:sz w:val="48"/>
          <w:szCs w:val="48"/>
          <w:lang w:bidi="ru-RU"/>
        </w:rPr>
        <w:t>»</w:t>
      </w:r>
    </w:p>
    <w:p w:rsidR="00E81C2E" w:rsidRDefault="00E81C2E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492C8F" w:rsidRDefault="00492C8F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AE0272" w:rsidRDefault="00AE0272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5A6975" w:rsidRDefault="005A6975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5A6975" w:rsidRDefault="005A6975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2117F6" w:rsidRPr="00E81C2E" w:rsidRDefault="002117F6" w:rsidP="009857FA">
      <w:pPr>
        <w:autoSpaceDE w:val="0"/>
        <w:autoSpaceDN w:val="0"/>
        <w:spacing w:line="208" w:lineRule="auto"/>
        <w:ind w:firstLine="0"/>
        <w:jc w:val="center"/>
        <w:outlineLvl w:val="0"/>
        <w:rPr>
          <w:rFonts w:ascii="Times New Roman" w:hAnsi="Times New Roman" w:cs="Times New Roman"/>
          <w:b/>
          <w:sz w:val="48"/>
          <w:lang w:bidi="ru-RU"/>
        </w:rPr>
      </w:pPr>
    </w:p>
    <w:p w:rsidR="0065415F" w:rsidRPr="009F4950" w:rsidRDefault="002117F6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  <w:r>
        <w:rPr>
          <w:rFonts w:ascii="Times New Roman" w:hAnsi="Times New Roman" w:cs="Times New Roman"/>
          <w:b/>
          <w:sz w:val="32"/>
          <w:lang w:bidi="ru-RU"/>
        </w:rPr>
        <w:t>24</w:t>
      </w:r>
      <w:r w:rsidR="0065415F">
        <w:rPr>
          <w:rFonts w:ascii="Times New Roman" w:hAnsi="Times New Roman" w:cs="Times New Roman"/>
          <w:b/>
          <w:sz w:val="32"/>
          <w:lang w:bidi="ru-RU"/>
        </w:rPr>
        <w:t>-</w:t>
      </w:r>
      <w:r>
        <w:rPr>
          <w:rFonts w:ascii="Times New Roman" w:hAnsi="Times New Roman" w:cs="Times New Roman"/>
          <w:b/>
          <w:sz w:val="32"/>
          <w:lang w:bidi="ru-RU"/>
        </w:rPr>
        <w:t>25</w:t>
      </w:r>
      <w:r w:rsidR="0065415F" w:rsidRPr="009F4950">
        <w:rPr>
          <w:rFonts w:ascii="Times New Roman" w:hAnsi="Times New Roman" w:cs="Times New Roman"/>
          <w:b/>
          <w:sz w:val="32"/>
          <w:lang w:bidi="ru-RU"/>
        </w:rPr>
        <w:t xml:space="preserve"> </w:t>
      </w:r>
      <w:r w:rsidR="0065415F">
        <w:rPr>
          <w:rFonts w:ascii="Times New Roman" w:hAnsi="Times New Roman" w:cs="Times New Roman"/>
          <w:b/>
          <w:sz w:val="32"/>
          <w:lang w:bidi="ru-RU"/>
        </w:rPr>
        <w:t>апреля</w:t>
      </w:r>
      <w:r w:rsidR="0065415F" w:rsidRPr="009F4950">
        <w:rPr>
          <w:rFonts w:ascii="Times New Roman" w:hAnsi="Times New Roman" w:cs="Times New Roman"/>
          <w:b/>
          <w:sz w:val="32"/>
          <w:lang w:bidi="ru-RU"/>
        </w:rPr>
        <w:t xml:space="preserve"> 202</w:t>
      </w:r>
      <w:r w:rsidR="0065415F">
        <w:rPr>
          <w:rFonts w:ascii="Times New Roman" w:hAnsi="Times New Roman" w:cs="Times New Roman"/>
          <w:b/>
          <w:sz w:val="32"/>
          <w:lang w:bidi="ru-RU"/>
        </w:rPr>
        <w:t>5</w:t>
      </w:r>
      <w:r w:rsidR="0065415F" w:rsidRPr="009F4950">
        <w:rPr>
          <w:rFonts w:ascii="Times New Roman" w:hAnsi="Times New Roman" w:cs="Times New Roman"/>
          <w:b/>
          <w:sz w:val="32"/>
          <w:lang w:bidi="ru-RU"/>
        </w:rPr>
        <w:t xml:space="preserve"> г.</w:t>
      </w:r>
      <w:r w:rsidR="0065415F" w:rsidRPr="009F4950">
        <w:rPr>
          <w:rFonts w:ascii="Times New Roman" w:hAnsi="Times New Roman" w:cs="Times New Roman"/>
          <w:sz w:val="32"/>
          <w:lang w:bidi="ru-RU"/>
        </w:rPr>
        <w:t xml:space="preserve"> </w:t>
      </w:r>
    </w:p>
    <w:p w:rsidR="0065415F" w:rsidRDefault="0065415F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65415F" w:rsidRDefault="0065415F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65415F" w:rsidRDefault="0065415F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65415F" w:rsidRDefault="0065415F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</w:p>
    <w:p w:rsidR="00492C8F" w:rsidRDefault="0065415F" w:rsidP="0065415F">
      <w:pPr>
        <w:widowControl/>
        <w:spacing w:line="240" w:lineRule="auto"/>
        <w:ind w:firstLine="0"/>
        <w:jc w:val="center"/>
        <w:rPr>
          <w:rFonts w:ascii="Times New Roman" w:hAnsi="Times New Roman" w:cs="Times New Roman"/>
          <w:sz w:val="32"/>
          <w:lang w:bidi="ru-RU"/>
        </w:rPr>
      </w:pPr>
      <w:r w:rsidRPr="00E81C2E">
        <w:rPr>
          <w:rFonts w:ascii="Times New Roman" w:hAnsi="Times New Roman" w:cs="Times New Roman"/>
          <w:sz w:val="32"/>
          <w:lang w:bidi="ru-RU"/>
        </w:rPr>
        <w:t>Липецк</w:t>
      </w:r>
      <w:r>
        <w:rPr>
          <w:rFonts w:ascii="Times New Roman" w:hAnsi="Times New Roman" w:cs="Times New Roman"/>
          <w:sz w:val="32"/>
          <w:lang w:bidi="ru-RU"/>
        </w:rPr>
        <w:t>, 2025</w:t>
      </w:r>
    </w:p>
    <w:p w:rsidR="00E81C2E" w:rsidRPr="00E81C2E" w:rsidRDefault="00E81C2E" w:rsidP="00BD1FC6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lastRenderedPageBreak/>
        <w:t>Основные направления работы конференции: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1. Корпоративное управление и развитие финансово-экономической деятельности предприятий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2. Инновационное развитие предприятий и организаций в бизнес-среде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 xml:space="preserve">3. Новый взгляд на </w:t>
      </w:r>
      <w:r w:rsidR="00160A02">
        <w:rPr>
          <w:rFonts w:ascii="Times New Roman" w:hAnsi="Times New Roman" w:cs="Times New Roman"/>
          <w:sz w:val="28"/>
          <w:szCs w:val="28"/>
        </w:rPr>
        <w:t xml:space="preserve">образование и </w:t>
      </w:r>
      <w:r w:rsidRPr="0065415F">
        <w:rPr>
          <w:rFonts w:ascii="Times New Roman" w:hAnsi="Times New Roman" w:cs="Times New Roman"/>
          <w:sz w:val="28"/>
          <w:szCs w:val="28"/>
        </w:rPr>
        <w:t>человеческий капитал: тренды, вызовы, технологические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4. Роль цифровых технологий</w:t>
      </w:r>
      <w:r w:rsidR="00B26648">
        <w:rPr>
          <w:rFonts w:ascii="Times New Roman" w:hAnsi="Times New Roman" w:cs="Times New Roman"/>
          <w:sz w:val="28"/>
          <w:szCs w:val="28"/>
        </w:rPr>
        <w:t xml:space="preserve"> и искусственного интеллекта</w:t>
      </w:r>
      <w:r w:rsidRPr="0065415F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повышении экономической эффективности взаимодействия государства, бизнеса и населения.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 xml:space="preserve">5. Устойчивое развитие территорий и предприятий: экология, охрана окружающей среды, принципы </w:t>
      </w:r>
      <w:r w:rsidRPr="0065415F">
        <w:rPr>
          <w:rFonts w:ascii="Times New Roman" w:hAnsi="Times New Roman" w:cs="Times New Roman"/>
          <w:sz w:val="28"/>
          <w:szCs w:val="28"/>
          <w:lang w:val="en-US"/>
        </w:rPr>
        <w:t>ESG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6. Планирование и прогнозирование социально-экономических процессов в условиях турбулентности в экономике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Pr="0065415F" w:rsidRDefault="0065415F" w:rsidP="0065415F">
      <w:pPr>
        <w:spacing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65415F">
        <w:rPr>
          <w:rFonts w:ascii="Times New Roman" w:hAnsi="Times New Roman" w:cs="Times New Roman"/>
          <w:sz w:val="28"/>
          <w:szCs w:val="28"/>
        </w:rPr>
        <w:t>7. Экономический рост, эффективность и конкурентоспособность экономики в условиях международной структурной трансформации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15F" w:rsidRPr="001C788C" w:rsidRDefault="0065415F" w:rsidP="0065415F">
      <w:pPr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26648" w:rsidRDefault="00B26648" w:rsidP="00B266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648" w:rsidRDefault="00B26648" w:rsidP="00B266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648" w:rsidRPr="00E81C2E" w:rsidRDefault="00B26648" w:rsidP="00B26648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Программный комитет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5777"/>
      </w:tblGrid>
      <w:tr w:rsidR="00B26648" w:rsidRPr="007C34CC" w:rsidTr="003B2FFA">
        <w:trPr>
          <w:jc w:val="center"/>
        </w:trPr>
        <w:tc>
          <w:tcPr>
            <w:tcW w:w="3794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5777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ИПРЭ РАН,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, академик РАН Окрепилов В.В.</w:t>
            </w:r>
          </w:p>
        </w:tc>
      </w:tr>
      <w:tr w:rsidR="00B26648" w:rsidRPr="007C34CC" w:rsidTr="003B2FFA">
        <w:trPr>
          <w:jc w:val="center"/>
        </w:trPr>
        <w:tc>
          <w:tcPr>
            <w:tcW w:w="3794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Сопредседатели</w:t>
            </w:r>
          </w:p>
        </w:tc>
        <w:tc>
          <w:tcPr>
            <w:tcW w:w="5777" w:type="dxa"/>
          </w:tcPr>
          <w:p w:rsidR="00B26648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 ЛГТУ</w:t>
            </w:r>
          </w:p>
          <w:p w:rsidR="00B26648" w:rsidRPr="006B503B" w:rsidRDefault="00DF1F22" w:rsidP="006B503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6648" w:rsidRPr="006B503B">
              <w:rPr>
                <w:rFonts w:ascii="Times New Roman" w:hAnsi="Times New Roman" w:cs="Times New Roman"/>
                <w:sz w:val="24"/>
                <w:szCs w:val="24"/>
              </w:rPr>
              <w:t>анд. тех</w:t>
            </w:r>
            <w:r w:rsidR="00976CA3" w:rsidRPr="006B50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26648" w:rsidRPr="006B50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 xml:space="preserve">наук, </w:t>
            </w:r>
            <w:r w:rsidR="00B26648" w:rsidRPr="006B503B">
              <w:rPr>
                <w:rFonts w:ascii="Times New Roman" w:hAnsi="Times New Roman" w:cs="Times New Roman"/>
                <w:sz w:val="24"/>
                <w:szCs w:val="24"/>
              </w:rPr>
              <w:t>Картель А.Ю.</w:t>
            </w:r>
          </w:p>
          <w:p w:rsidR="00B26648" w:rsidRPr="006B503B" w:rsidRDefault="00B26648" w:rsidP="006B503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48" w:rsidRPr="006B503B" w:rsidRDefault="00B26648" w:rsidP="006B503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ГНУ «НИЭИ Министерства </w:t>
            </w:r>
          </w:p>
          <w:p w:rsidR="00B26648" w:rsidRPr="006B503B" w:rsidRDefault="00B26648" w:rsidP="006B503B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экономики Республики Беларусь»,</w:t>
            </w:r>
          </w:p>
          <w:p w:rsidR="00976CA3" w:rsidRPr="002117F6" w:rsidRDefault="00B26648" w:rsidP="002117F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02A1" w:rsidRPr="006B503B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02A1" w:rsidRPr="006B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E02A1" w:rsidRPr="006B503B">
              <w:rPr>
                <w:rFonts w:ascii="Times New Roman" w:hAnsi="Times New Roman" w:cs="Times New Roman"/>
                <w:sz w:val="24"/>
                <w:szCs w:val="24"/>
              </w:rPr>
              <w:t xml:space="preserve">кон. </w:t>
            </w: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02A1" w:rsidRPr="006B503B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6B503B">
              <w:rPr>
                <w:rFonts w:ascii="Times New Roman" w:hAnsi="Times New Roman" w:cs="Times New Roman"/>
                <w:sz w:val="24"/>
                <w:szCs w:val="24"/>
              </w:rPr>
              <w:t>, доц. Берченко Н.Г.</w:t>
            </w:r>
          </w:p>
        </w:tc>
      </w:tr>
      <w:tr w:rsidR="00B26648" w:rsidRPr="007C34CC" w:rsidTr="003B2FFA">
        <w:trPr>
          <w:jc w:val="center"/>
        </w:trPr>
        <w:tc>
          <w:tcPr>
            <w:tcW w:w="3794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</w:p>
        </w:tc>
        <w:tc>
          <w:tcPr>
            <w:tcW w:w="5777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Директор ИПРЭ РАН,</w:t>
            </w:r>
          </w:p>
          <w:p w:rsidR="00B26648" w:rsidRPr="00755420" w:rsidRDefault="00AE02A1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д-р </w:t>
            </w:r>
            <w:r w:rsidR="00B26648" w:rsidRPr="007554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кон. </w:t>
            </w:r>
            <w:r w:rsidR="00B26648" w:rsidRPr="007554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="00B26648" w:rsidRPr="00755420">
              <w:rPr>
                <w:rFonts w:ascii="Times New Roman" w:hAnsi="Times New Roman" w:cs="Times New Roman"/>
                <w:sz w:val="24"/>
                <w:szCs w:val="24"/>
              </w:rPr>
              <w:t>, проф., проф. РАО Шматко А.Д.</w:t>
            </w:r>
          </w:p>
          <w:p w:rsidR="00B26648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F22" w:rsidRDefault="00DF1F22" w:rsidP="00B2664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Президент РАЕН, директор ИРЭИ,</w:t>
            </w:r>
          </w:p>
          <w:p w:rsidR="00DF1F22" w:rsidRDefault="00DF1F22" w:rsidP="00B2664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д-р экон. наук, проф. Бурак П.И.</w:t>
            </w:r>
          </w:p>
          <w:p w:rsidR="00B26648" w:rsidRDefault="00B26648" w:rsidP="00B2664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48" w:rsidRDefault="00B26648" w:rsidP="00B2664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 ЛГ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им. П.П. Семёнова-Тян-Шанского</w:t>
            </w:r>
          </w:p>
          <w:p w:rsidR="00B26648" w:rsidRDefault="00B26648" w:rsidP="00B26648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пед. наук, доц. Федина Н.В.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48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ИСНЭП ЛГТУ</w:t>
            </w:r>
          </w:p>
          <w:p w:rsidR="00B26648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канд. соц. наук, доц. Маслова О.М.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Профессор кафедры экономики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и финансов ЛГТУ,</w:t>
            </w:r>
            <w:r w:rsidR="002117F6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ЛРО РАЕН,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-р экон. наук, проф.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 xml:space="preserve"> Пыльнева Т.Г. (модератор)</w:t>
            </w:r>
          </w:p>
        </w:tc>
      </w:tr>
      <w:tr w:rsidR="00B26648" w:rsidRPr="007C34CC" w:rsidTr="003B2FFA">
        <w:trPr>
          <w:jc w:val="center"/>
        </w:trPr>
        <w:tc>
          <w:tcPr>
            <w:tcW w:w="3794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Учёный секретарь</w:t>
            </w:r>
          </w:p>
        </w:tc>
        <w:tc>
          <w:tcPr>
            <w:tcW w:w="5777" w:type="dxa"/>
          </w:tcPr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Зав. кафедрой экономики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и финансов ЛГТУ,</w:t>
            </w:r>
          </w:p>
          <w:p w:rsidR="00B26648" w:rsidRPr="00755420" w:rsidRDefault="00B26648" w:rsidP="003B2FFA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 xml:space="preserve">кон. 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E02A1">
              <w:rPr>
                <w:rFonts w:ascii="Times New Roman" w:hAnsi="Times New Roman" w:cs="Times New Roman"/>
                <w:sz w:val="24"/>
                <w:szCs w:val="24"/>
              </w:rPr>
              <w:t>аук</w:t>
            </w:r>
            <w:r w:rsidRPr="00755420">
              <w:rPr>
                <w:rFonts w:ascii="Times New Roman" w:hAnsi="Times New Roman" w:cs="Times New Roman"/>
                <w:sz w:val="24"/>
                <w:szCs w:val="24"/>
              </w:rPr>
              <w:t>, доц. Кондраткова В.С.</w:t>
            </w:r>
          </w:p>
        </w:tc>
      </w:tr>
    </w:tbl>
    <w:p w:rsidR="00B26648" w:rsidRDefault="00B26648" w:rsidP="00B266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F6" w:rsidRDefault="002117F6" w:rsidP="00B266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7F6" w:rsidRDefault="002117F6" w:rsidP="00B266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648" w:rsidRPr="00E81C2E" w:rsidRDefault="00B26648" w:rsidP="00B26648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lastRenderedPageBreak/>
        <w:t>Участники конференции: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К участию в конференции приглашаются российские ученые и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специалисты научно-образовательных организаций; научно-педагогические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сотрудники и руководители образовательных учреждений; представител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и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российских вузов, ИТ-компаний, общественных, профильных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и иных организаций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, органы государственной и муниципальной власти.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</w:pPr>
      <w:r w:rsidRPr="000C3EF9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Планируется проведение отдельной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молодёжной</w:t>
      </w:r>
      <w:r w:rsidRPr="000C3E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секции для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магистрант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ов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, студент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>ов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специалитета и</w:t>
      </w:r>
      <w:r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 </w:t>
      </w:r>
      <w:r w:rsidRPr="003D42CE">
        <w:rPr>
          <w:rFonts w:ascii="Times New Roman" w:eastAsiaTheme="minorHAnsi" w:hAnsi="Times New Roman" w:cs="Times New Roman"/>
          <w:color w:val="2C2D2E"/>
          <w:sz w:val="28"/>
          <w:szCs w:val="28"/>
          <w:shd w:val="clear" w:color="auto" w:fill="FFFFFF"/>
          <w:lang w:eastAsia="en-US"/>
        </w:rPr>
        <w:t xml:space="preserve">бакалавриата вузов. 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6648" w:rsidRPr="00E81C2E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6648" w:rsidRPr="00E81C2E" w:rsidRDefault="00B26648" w:rsidP="00B26648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Проведение конференции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Проведение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планируются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смешанной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форм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. Рабочи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язык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– </w:t>
      </w:r>
      <w:r w:rsidRPr="00BD1FC6">
        <w:rPr>
          <w:rFonts w:ascii="Times New Roman" w:eastAsiaTheme="minorHAnsi" w:hAnsi="Times New Roman" w:cs="Times New Roman"/>
          <w:sz w:val="28"/>
          <w:szCs w:val="28"/>
          <w:lang w:eastAsia="en-US"/>
        </w:rPr>
        <w:t>русский и английский.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Оргкомитет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онференции оставляет за собой право изменять количество/направленность тематики обсуждений в зависимости от тематики представленных работ и их количества.</w:t>
      </w:r>
    </w:p>
    <w:p w:rsidR="00B26648" w:rsidRPr="000A55E3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lang w:eastAsia="en-US"/>
        </w:rPr>
        <w:t>П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>рограмма Конференции направляется участникам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Конференции не позднее </w:t>
      </w:r>
      <w:r w:rsidR="002117F6">
        <w:rPr>
          <w:rFonts w:ascii="Times New Roman" w:eastAsiaTheme="minorHAnsi" w:hAnsi="Times New Roman" w:cs="Times New Roman"/>
          <w:sz w:val="28"/>
          <w:lang w:eastAsia="en-US"/>
        </w:rPr>
        <w:t>20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lang w:eastAsia="en-US"/>
        </w:rPr>
        <w:t>апреля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202</w:t>
      </w:r>
      <w:r>
        <w:rPr>
          <w:rFonts w:ascii="Times New Roman" w:eastAsiaTheme="minorHAnsi" w:hAnsi="Times New Roman" w:cs="Times New Roman"/>
          <w:sz w:val="28"/>
          <w:lang w:eastAsia="en-US"/>
        </w:rPr>
        <w:t>5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>.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По итогам Конференции 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возможно получение электронного 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>сертификат</w:t>
      </w:r>
      <w:r>
        <w:rPr>
          <w:rFonts w:ascii="Times New Roman" w:eastAsiaTheme="minorHAnsi" w:hAnsi="Times New Roman" w:cs="Times New Roman"/>
          <w:sz w:val="28"/>
          <w:lang w:eastAsia="en-US"/>
        </w:rPr>
        <w:t>а</w:t>
      </w:r>
      <w:r w:rsidRPr="000A55E3">
        <w:rPr>
          <w:rFonts w:ascii="Times New Roman" w:eastAsiaTheme="minorHAnsi" w:hAnsi="Times New Roman" w:cs="Times New Roman"/>
          <w:sz w:val="28"/>
          <w:lang w:eastAsia="en-US"/>
        </w:rPr>
        <w:t xml:space="preserve"> участника Конференции.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6648" w:rsidRPr="00E81C2E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6648" w:rsidRPr="00E81C2E" w:rsidRDefault="00B26648" w:rsidP="00B26648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Участие в конференции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B26648" w:rsidRPr="00FF2FC4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>Условия оплаты:</w:t>
      </w:r>
    </w:p>
    <w:p w:rsidR="00B26648" w:rsidRPr="00FF2FC4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>- публикация статьи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0D71A2">
        <w:rPr>
          <w:rFonts w:ascii="Times New Roman" w:eastAsiaTheme="minorHAnsi" w:hAnsi="Times New Roman" w:cs="Times New Roman"/>
          <w:sz w:val="28"/>
          <w:lang w:eastAsia="en-US"/>
        </w:rPr>
        <w:t>в сборнике научных трудов</w:t>
      </w: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lang w:eastAsia="en-US"/>
        </w:rPr>
        <w:t>–</w:t>
      </w: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lang w:eastAsia="en-US"/>
        </w:rPr>
        <w:t>150 руб. / страница.</w:t>
      </w:r>
    </w:p>
    <w:p w:rsidR="00B26648" w:rsidRPr="0016675A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FF2FC4">
        <w:rPr>
          <w:rFonts w:ascii="Times New Roman" w:eastAsiaTheme="minorHAnsi" w:hAnsi="Times New Roman" w:cs="Times New Roman"/>
          <w:sz w:val="28"/>
          <w:lang w:eastAsia="en-US"/>
        </w:rPr>
        <w:t xml:space="preserve">- для международных участников публикация </w:t>
      </w:r>
      <w:r>
        <w:rPr>
          <w:rFonts w:ascii="Times New Roman" w:eastAsiaTheme="minorHAnsi" w:hAnsi="Times New Roman" w:cs="Times New Roman"/>
          <w:sz w:val="28"/>
          <w:lang w:eastAsia="en-US"/>
        </w:rPr>
        <w:t>в сборнике</w:t>
      </w: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 бесплатно.</w:t>
      </w:r>
    </w:p>
    <w:p w:rsidR="00B26648" w:rsidRPr="0016675A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- электронный сертификат участника конференции – </w:t>
      </w:r>
      <w:r>
        <w:rPr>
          <w:rFonts w:ascii="Times New Roman" w:eastAsiaTheme="minorHAnsi" w:hAnsi="Times New Roman" w:cs="Times New Roman"/>
          <w:sz w:val="28"/>
          <w:lang w:eastAsia="en-US"/>
        </w:rPr>
        <w:t>100</w:t>
      </w:r>
      <w:r w:rsidRPr="0016675A">
        <w:rPr>
          <w:rFonts w:ascii="Times New Roman" w:eastAsiaTheme="minorHAnsi" w:hAnsi="Times New Roman" w:cs="Times New Roman"/>
          <w:sz w:val="28"/>
          <w:lang w:eastAsia="en-US"/>
        </w:rPr>
        <w:t xml:space="preserve"> р./экз.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Реквизиты для оплаты: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Наименование предприятия – Научно-исследовательский институт Липецкого государственного технического университета (НИИ ЛГТУ)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назначение платежа: оплата орг. взноса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если появляется строчка «ФИО ребенка», автор дублирует свои данные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ИНН 4826012416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КПП 482645003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ОКТМО 42701000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КБК 00000000000000000130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Банк Отделение Липецк Банка России // УФК по Липецкой области г. Липецк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Расчетный счет 03214643000000014600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БИК 014206212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Корр. счет 40102810945370000039 Лицевой счет в УФК по Липецкой области (НИИ ЛГТУ л/с 20466Х28690)</w:t>
      </w:r>
    </w:p>
    <w:p w:rsidR="00DF1F22" w:rsidRPr="00627E46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Уважаемые участники, обращайте внимание на правильный лицевой счет</w:t>
      </w:r>
    </w:p>
    <w:p w:rsidR="00DF1F22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627E46">
        <w:rPr>
          <w:rFonts w:ascii="Times New Roman" w:eastAsiaTheme="minorHAnsi" w:hAnsi="Times New Roman" w:cs="Times New Roman"/>
          <w:sz w:val="28"/>
          <w:lang w:eastAsia="en-US"/>
        </w:rPr>
        <w:t>л/с 20466Х28690</w:t>
      </w:r>
    </w:p>
    <w:p w:rsidR="00B26648" w:rsidRPr="00E81C2E" w:rsidRDefault="00B26648" w:rsidP="00B26648">
      <w:pPr>
        <w:widowControl/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lastRenderedPageBreak/>
        <w:t>Публикация материалов конференции</w:t>
      </w: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:</w:t>
      </w:r>
    </w:p>
    <w:p w:rsidR="00B26648" w:rsidRPr="00C9639A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Hlk192855537"/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итогам конференции будет издан сборник научных трудов в электронном виде, индексируемый в РИНЦ. </w:t>
      </w:r>
      <w:bookmarkEnd w:id="0"/>
      <w:r w:rsidRPr="00C9639A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Сборник рецензируется, статьи проверяются на плагиат.</w:t>
      </w:r>
    </w:p>
    <w:p w:rsidR="00DF1F22" w:rsidRPr="00231FCD" w:rsidRDefault="00DF1F22" w:rsidP="00DF1F2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частникам конференции </w:t>
      </w:r>
      <w:r w:rsidR="00AE02A1">
        <w:rPr>
          <w:rFonts w:ascii="Times New Roman" w:eastAsia="TimesNewRomanPSMT" w:hAnsi="Times New Roman" w:cs="Times New Roman"/>
          <w:bCs/>
          <w:sz w:val="28"/>
          <w:szCs w:val="28"/>
          <w:lang w:eastAsia="en-US"/>
        </w:rPr>
        <w:t>для публикации статей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необходимо </w:t>
      </w:r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>направить статью и сопроводительные документы</w:t>
      </w:r>
      <w:r w:rsidRPr="00231FC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по электронной почте: </w:t>
      </w:r>
      <w:r w:rsidRPr="00231FCD">
        <w:rPr>
          <w:rFonts w:ascii="Times New Roman" w:hAnsi="Times New Roman" w:cs="Times New Roman"/>
          <w:sz w:val="28"/>
          <w:szCs w:val="28"/>
        </w:rPr>
        <w:t>grinavtseva_ev@stu.lipetsk.ru</w:t>
      </w:r>
      <w:r w:rsidRPr="00231FCD">
        <w:t xml:space="preserve"> </w:t>
      </w:r>
      <w:r w:rsidRPr="00231FC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1</w:t>
      </w:r>
      <w:r w:rsidR="002117F6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5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.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04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.202</w:t>
      </w:r>
      <w:r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>5</w:t>
      </w:r>
      <w:r w:rsidRPr="00231FCD">
        <w:rPr>
          <w:rFonts w:ascii="Times New Roman" w:eastAsia="TimesNewRomanPSMT" w:hAnsi="Times New Roman" w:cs="Times New Roman"/>
          <w:b/>
          <w:bCs/>
          <w:sz w:val="28"/>
          <w:szCs w:val="28"/>
          <w:lang w:eastAsia="en-US"/>
        </w:rPr>
        <w:t xml:space="preserve"> г. </w:t>
      </w:r>
    </w:p>
    <w:p w:rsidR="00DF1F22" w:rsidRPr="00E81C2E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1FCD">
        <w:rPr>
          <w:rFonts w:ascii="Times New Roman" w:eastAsiaTheme="minorHAnsi" w:hAnsi="Times New Roman" w:cs="Times New Roman"/>
          <w:sz w:val="28"/>
          <w:lang w:eastAsia="en-US"/>
        </w:rPr>
        <w:t xml:space="preserve">Статья будет опубликована в авторской редакции. Авторы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опубликованных материалов несут ответственность за содержание материалов, подбор и точность приведенных цитат, статистических данных и </w:t>
      </w:r>
      <w:bookmarkStart w:id="1" w:name="_GoBack"/>
      <w:bookmarkEnd w:id="1"/>
      <w:r w:rsidR="00AE02A1">
        <w:rPr>
          <w:rFonts w:ascii="Times New Roman" w:eastAsiaTheme="minorHAnsi" w:hAnsi="Times New Roman" w:cs="Times New Roman"/>
          <w:sz w:val="28"/>
          <w:lang w:eastAsia="en-US"/>
        </w:rPr>
        <w:t>т.д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</w:p>
    <w:p w:rsidR="00DF1F22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онференцию представляется доклад, содержание которого соответствует требованиям к оформлению, не противоречащий законодательству Российской Федерации и академической этике. Доклады, не соответствующие данным условиям, могут быть сняты с участия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онференции на любой ее стадии. </w:t>
      </w:r>
    </w:p>
    <w:p w:rsidR="00DF1F22" w:rsidRPr="00E81C2E" w:rsidRDefault="00DF1F22" w:rsidP="00DF1F22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lang w:eastAsia="en-US"/>
        </w:rPr>
        <w:t>Оригинальность статьи по системе http://www.antiplagiat.ru должна быть не менее 65%.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Файл антиплагиата должен быть обрезан по краю отчета, с отображением автора и названия проверяемой работы. </w:t>
      </w:r>
    </w:p>
    <w:p w:rsidR="00DF1F22" w:rsidRPr="00204B76" w:rsidRDefault="00DF1F22" w:rsidP="00DF1F2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К участию необходимо предоставить </w:t>
      </w:r>
      <w:r>
        <w:rPr>
          <w:rFonts w:ascii="Times New Roman" w:eastAsiaTheme="minorHAnsi" w:hAnsi="Times New Roman" w:cs="Times New Roman"/>
          <w:sz w:val="28"/>
          <w:lang w:eastAsia="en-US"/>
        </w:rPr>
        <w:t>3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 файла: 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заявка,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>антиплагиат</w:t>
      </w:r>
      <w:r>
        <w:rPr>
          <w:rFonts w:ascii="Times New Roman" w:eastAsiaTheme="minorHAnsi" w:hAnsi="Times New Roman" w:cs="Times New Roman"/>
          <w:sz w:val="28"/>
          <w:lang w:eastAsia="en-US"/>
        </w:rPr>
        <w:t xml:space="preserve"> и квитанция об оплате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 xml:space="preserve">. </w:t>
      </w:r>
      <w:r w:rsidRPr="00E81C2E">
        <w:rPr>
          <w:rFonts w:ascii="Times New Roman" w:hAnsi="Times New Roman" w:cs="Times New Roman"/>
          <w:sz w:val="28"/>
          <w:szCs w:val="28"/>
        </w:rPr>
        <w:t>Название файла должно соответств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E81C2E">
        <w:rPr>
          <w:rFonts w:ascii="Times New Roman" w:hAnsi="Times New Roman" w:cs="Times New Roman"/>
          <w:sz w:val="28"/>
          <w:szCs w:val="28"/>
        </w:rPr>
        <w:t xml:space="preserve"> фамили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1C2E">
        <w:rPr>
          <w:rFonts w:ascii="Times New Roman" w:hAnsi="Times New Roman" w:cs="Times New Roman"/>
          <w:sz w:val="28"/>
          <w:szCs w:val="28"/>
        </w:rPr>
        <w:t xml:space="preserve"> и инициалам участника </w:t>
      </w:r>
      <w:r w:rsidRPr="00204B76">
        <w:rPr>
          <w:rFonts w:ascii="Times New Roman" w:hAnsi="Times New Roman" w:cs="Times New Roman"/>
          <w:spacing w:val="-4"/>
          <w:sz w:val="28"/>
          <w:szCs w:val="28"/>
        </w:rPr>
        <w:t>конференции</w:t>
      </w:r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>: Иванов_АВ_</w:t>
      </w:r>
      <w:r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оплата, </w:t>
      </w:r>
      <w:r w:rsidRPr="00204B76">
        <w:rPr>
          <w:rFonts w:ascii="Times New Roman" w:eastAsiaTheme="minorHAnsi" w:hAnsi="Times New Roman" w:cs="Times New Roman"/>
          <w:spacing w:val="-4"/>
          <w:sz w:val="28"/>
          <w:lang w:eastAsia="en-US"/>
        </w:rPr>
        <w:t>Иванов_АВ_статья, Иванов_АВ_антиплагиат</w:t>
      </w:r>
      <w:r>
        <w:rPr>
          <w:rFonts w:ascii="Times New Roman" w:eastAsiaTheme="minorHAnsi" w:hAnsi="Times New Roman" w:cs="Times New Roman"/>
          <w:spacing w:val="-4"/>
          <w:sz w:val="28"/>
          <w:lang w:eastAsia="en-US"/>
        </w:rPr>
        <w:t xml:space="preserve">. </w:t>
      </w:r>
    </w:p>
    <w:p w:rsidR="00B26648" w:rsidRDefault="00B26648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Доклад оформляется в текстовом редакторе MS Word. Формулы набираются с помощью редактора MS Equation 3.0.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Параметры страницы: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размер бумаги – формат А4, ориентация – книжная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поля: все по 20 мм.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 xml:space="preserve">шрифт: Times New Roman, 14 </w:t>
      </w:r>
      <w:r w:rsidRPr="006D3FA3">
        <w:rPr>
          <w:rFonts w:ascii="Times New Roman" w:hAnsi="Times New Roman" w:cs="Times New Roman"/>
          <w:sz w:val="28"/>
          <w:szCs w:val="28"/>
          <w:lang w:val="en-US"/>
        </w:rPr>
        <w:t>pt</w:t>
      </w:r>
      <w:r w:rsidRPr="006D3FA3">
        <w:rPr>
          <w:rFonts w:ascii="Times New Roman" w:hAnsi="Times New Roman" w:cs="Times New Roman"/>
          <w:sz w:val="28"/>
          <w:szCs w:val="28"/>
        </w:rPr>
        <w:t xml:space="preserve">, в таблицах и рисунках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D3FA3">
        <w:rPr>
          <w:rFonts w:ascii="Times New Roman" w:hAnsi="Times New Roman" w:cs="Times New Roman"/>
          <w:sz w:val="28"/>
          <w:szCs w:val="28"/>
        </w:rPr>
        <w:t>12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межстрочный интервал – одинарный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абзац – красная строка – 1,25 см, выравнивание – по ширине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02A1" w:rsidRPr="00E81C2E" w:rsidRDefault="00AE02A1" w:rsidP="00AE02A1">
      <w:pPr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36"/>
          <w:szCs w:val="28"/>
          <w:lang w:eastAsia="en-US"/>
        </w:rPr>
      </w:pPr>
      <w:r w:rsidRPr="006D3FA3">
        <w:rPr>
          <w:rFonts w:ascii="Times New Roman" w:hAnsi="Times New Roman" w:cs="Times New Roman"/>
          <w:sz w:val="28"/>
          <w:szCs w:val="28"/>
        </w:rPr>
        <w:t xml:space="preserve">Объём – </w:t>
      </w:r>
      <w:r>
        <w:rPr>
          <w:rFonts w:ascii="Times New Roman" w:hAnsi="Times New Roman" w:cs="Times New Roman"/>
          <w:sz w:val="28"/>
          <w:szCs w:val="28"/>
        </w:rPr>
        <w:t xml:space="preserve">от 3 </w:t>
      </w:r>
      <w:r w:rsidRPr="006D3FA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D3FA3">
        <w:rPr>
          <w:rFonts w:ascii="Times New Roman" w:hAnsi="Times New Roman" w:cs="Times New Roman"/>
          <w:sz w:val="28"/>
          <w:szCs w:val="28"/>
        </w:rPr>
        <w:t xml:space="preserve"> полных страниц.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1C2E">
        <w:rPr>
          <w:rFonts w:ascii="Times New Roman" w:eastAsiaTheme="minorHAnsi" w:hAnsi="Times New Roman" w:cs="Times New Roman"/>
          <w:sz w:val="28"/>
          <w:lang w:eastAsia="en-US"/>
        </w:rPr>
        <w:t>Рукописи большего объема принимаются по специальному решению оргкомитета и редколлегии.</w:t>
      </w:r>
    </w:p>
    <w:p w:rsidR="00AE02A1" w:rsidRPr="006D3FA3" w:rsidRDefault="00AE02A1" w:rsidP="00AE02A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hAnsi="Times New Roman" w:cs="Times New Roman"/>
          <w:sz w:val="28"/>
          <w:szCs w:val="28"/>
        </w:rPr>
        <w:t>Аннотация: 2-3 предложения, отражающих цель и основные положения материалов тезисов. После аннотации должны быть представлены 3-5 ключевых слов.</w:t>
      </w:r>
    </w:p>
    <w:p w:rsidR="00AE02A1" w:rsidRDefault="00AE02A1" w:rsidP="00AE02A1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 аннотации н</w:t>
      </w:r>
      <w:r w:rsidRPr="006D3FA3">
        <w:rPr>
          <w:rFonts w:ascii="Times New Roman" w:hAnsi="Times New Roman" w:cs="Times New Roman"/>
          <w:color w:val="000000"/>
          <w:sz w:val="28"/>
          <w:szCs w:val="28"/>
        </w:rPr>
        <w:t>а английском языке должны быть представлены:</w:t>
      </w:r>
    </w:p>
    <w:p w:rsidR="00AE02A1" w:rsidRDefault="00AE02A1" w:rsidP="00AE02A1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название статьи;</w:t>
      </w:r>
    </w:p>
    <w:p w:rsidR="00AE02A1" w:rsidRPr="006D3FA3" w:rsidRDefault="00AE02A1" w:rsidP="00AE02A1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сведение об авторе;</w:t>
      </w:r>
    </w:p>
    <w:p w:rsidR="00AE02A1" w:rsidRPr="006D3FA3" w:rsidRDefault="00AE02A1" w:rsidP="00AE02A1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FA3">
        <w:rPr>
          <w:rFonts w:ascii="Times New Roman" w:hAnsi="Times New Roman" w:cs="Times New Roman"/>
          <w:color w:val="000000"/>
          <w:sz w:val="28"/>
          <w:szCs w:val="28"/>
        </w:rPr>
        <w:t>- текст аннотации;</w:t>
      </w:r>
    </w:p>
    <w:p w:rsidR="00AE02A1" w:rsidRPr="006D3FA3" w:rsidRDefault="00AE02A1" w:rsidP="00AE02A1">
      <w:pPr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3FA3">
        <w:rPr>
          <w:rFonts w:ascii="Times New Roman" w:hAnsi="Times New Roman" w:cs="Times New Roman"/>
          <w:color w:val="000000"/>
          <w:sz w:val="28"/>
          <w:szCs w:val="28"/>
        </w:rPr>
        <w:t>- ключевые слова.</w:t>
      </w:r>
    </w:p>
    <w:p w:rsidR="00AE02A1" w:rsidRPr="00E81C2E" w:rsidRDefault="00AE02A1" w:rsidP="00AE02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2E">
        <w:rPr>
          <w:rFonts w:ascii="Times New Roman" w:hAnsi="Times New Roman" w:cs="Times New Roman"/>
          <w:sz w:val="28"/>
          <w:szCs w:val="28"/>
        </w:rPr>
        <w:t>Страницы не нумеруются.</w:t>
      </w:r>
    </w:p>
    <w:p w:rsidR="00AE02A1" w:rsidRPr="00E81C2E" w:rsidRDefault="00AE02A1" w:rsidP="00AE02A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>Библиографический список (не менее 5 источников).</w:t>
      </w:r>
    </w:p>
    <w:p w:rsidR="00AE02A1" w:rsidRDefault="00AE02A1" w:rsidP="00AE02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C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Список источников оформляется в соответствии с 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ГОСТ 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Р 7.0.100-2018 «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Библиографическая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 запись. </w:t>
      </w:r>
      <w:r w:rsidRPr="00E81C2E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>Библиографическое</w:t>
      </w:r>
      <w:r w:rsidRPr="00E81C2E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описание» и </w:t>
      </w:r>
      <w:r w:rsidRPr="00E81C2E">
        <w:rPr>
          <w:rFonts w:ascii="Times New Roman" w:hAnsi="Times New Roman" w:cs="Times New Roman"/>
          <w:sz w:val="28"/>
          <w:szCs w:val="28"/>
        </w:rPr>
        <w:t xml:space="preserve">оформляется в </w:t>
      </w:r>
      <w:r w:rsidRPr="00E81C2E">
        <w:rPr>
          <w:rFonts w:ascii="Times New Roman" w:hAnsi="Times New Roman" w:cs="Times New Roman"/>
          <w:sz w:val="28"/>
          <w:szCs w:val="28"/>
        </w:rPr>
        <w:lastRenderedPageBreak/>
        <w:t>конце текста под</w:t>
      </w:r>
      <w:r w:rsidRPr="00E81C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1C2E">
        <w:rPr>
          <w:rFonts w:ascii="Times New Roman" w:hAnsi="Times New Roman" w:cs="Times New Roman"/>
          <w:sz w:val="28"/>
          <w:szCs w:val="28"/>
        </w:rPr>
        <w:t>названием «Библиографический список». В тексте сноски обозначаются квадратными скобками с указанием в них порядкового номера источника по списку. Например: [2].</w:t>
      </w:r>
    </w:p>
    <w:p w:rsidR="00AE02A1" w:rsidRPr="00E81C2E" w:rsidRDefault="00AE02A1" w:rsidP="00AE02A1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2A1" w:rsidRPr="00E81C2E" w:rsidRDefault="00AE02A1" w:rsidP="00AE02A1">
      <w:pPr>
        <w:shd w:val="clear" w:color="auto" w:fill="B8CCE4"/>
        <w:spacing w:line="259" w:lineRule="auto"/>
        <w:ind w:firstLine="0"/>
        <w:jc w:val="center"/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</w:pPr>
      <w:r w:rsidRPr="00E81C2E">
        <w:rPr>
          <w:rFonts w:ascii="Times New Roman" w:eastAsiaTheme="minorHAnsi" w:hAnsi="Times New Roman" w:cs="Times New Roman"/>
          <w:b/>
          <w:sz w:val="28"/>
          <w:szCs w:val="27"/>
          <w:lang w:eastAsia="en-US"/>
        </w:rPr>
        <w:t>Образец оформления статьи:</w:t>
      </w:r>
    </w:p>
    <w:p w:rsidR="00AE02A1" w:rsidRPr="00E81C2E" w:rsidRDefault="00AE02A1" w:rsidP="00AE02A1">
      <w:pPr>
        <w:tabs>
          <w:tab w:val="left" w:pos="2217"/>
        </w:tabs>
        <w:spacing w:line="240" w:lineRule="auto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E02A1" w:rsidRPr="007B1327" w:rsidRDefault="00AE02A1" w:rsidP="00AE02A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B1327">
        <w:rPr>
          <w:rFonts w:ascii="Times New Roman" w:hAnsi="Times New Roman"/>
          <w:b/>
          <w:sz w:val="28"/>
          <w:szCs w:val="28"/>
        </w:rPr>
        <w:t>ОСОБЕННОСТИ РЕГИОНАЛЬНОЙ РЕКЛАМЫ</w:t>
      </w:r>
    </w:p>
    <w:p w:rsidR="00AE02A1" w:rsidRPr="007B1327" w:rsidRDefault="00AE02A1" w:rsidP="00AE02A1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AE02A1" w:rsidRPr="007B1327" w:rsidRDefault="00AE02A1" w:rsidP="00AE02A1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канд. экон. наук, доцент </w:t>
      </w:r>
      <w:r w:rsidRPr="007B1327">
        <w:rPr>
          <w:rFonts w:ascii="Times New Roman" w:hAnsi="Times New Roman"/>
          <w:color w:val="000000"/>
          <w:sz w:val="28"/>
          <w:szCs w:val="28"/>
        </w:rPr>
        <w:t>АЛТУХОВА АЛИНА ВИКТОРОВНА</w:t>
      </w:r>
    </w:p>
    <w:p w:rsidR="00AE02A1" w:rsidRDefault="00AE02A1" w:rsidP="00AE02A1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7B1327">
        <w:rPr>
          <w:rFonts w:ascii="Times New Roman" w:hAnsi="Times New Roman"/>
          <w:color w:val="000000"/>
          <w:sz w:val="28"/>
          <w:szCs w:val="28"/>
        </w:rPr>
        <w:t>ФГБОУ ВО «Липецкий государственный технический университет»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AE02A1" w:rsidRPr="007B1327" w:rsidRDefault="00AE02A1" w:rsidP="00AE02A1">
      <w:pPr>
        <w:shd w:val="clear" w:color="auto" w:fill="FFFFFF"/>
        <w:tabs>
          <w:tab w:val="left" w:pos="6605"/>
        </w:tabs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Липецк, Россия</w:t>
      </w:r>
    </w:p>
    <w:p w:rsidR="00AE02A1" w:rsidRPr="007B1327" w:rsidRDefault="00AE02A1" w:rsidP="00AE02A1">
      <w:pPr>
        <w:shd w:val="clear" w:color="auto" w:fill="FFFFFF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E02A1" w:rsidRPr="007B1327" w:rsidRDefault="00AE02A1" w:rsidP="00AE02A1">
      <w:pPr>
        <w:shd w:val="clear" w:color="auto" w:fill="FFFFFF"/>
        <w:tabs>
          <w:tab w:val="left" w:leader="dot" w:pos="939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327">
        <w:rPr>
          <w:rFonts w:ascii="Times New Roman" w:hAnsi="Times New Roman"/>
          <w:b/>
          <w:bCs/>
          <w:iCs/>
          <w:sz w:val="28"/>
          <w:szCs w:val="28"/>
        </w:rPr>
        <w:t>Аннотация:</w:t>
      </w:r>
      <w:r w:rsidRPr="007B13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в работе рассматриваются особенности региональной рекламы.</w:t>
      </w:r>
      <w:r>
        <w:rPr>
          <w:rFonts w:ascii="Times New Roman" w:hAnsi="Times New Roman"/>
          <w:bCs/>
          <w:sz w:val="28"/>
          <w:szCs w:val="28"/>
        </w:rPr>
        <w:t xml:space="preserve"> Особое внимание уделено рассмотрению особенностей рекламы в Липецкой области.</w:t>
      </w:r>
    </w:p>
    <w:p w:rsidR="00AE02A1" w:rsidRPr="007B1327" w:rsidRDefault="00AE02A1" w:rsidP="00AE02A1">
      <w:pPr>
        <w:shd w:val="clear" w:color="auto" w:fill="FFFFFF"/>
        <w:tabs>
          <w:tab w:val="left" w:leader="dot" w:pos="9391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B1327">
        <w:rPr>
          <w:rFonts w:ascii="Times New Roman" w:hAnsi="Times New Roman"/>
          <w:b/>
          <w:bCs/>
          <w:iCs/>
          <w:sz w:val="28"/>
          <w:szCs w:val="28"/>
        </w:rPr>
        <w:t>Ключевые слова:</w:t>
      </w:r>
      <w:r w:rsidRPr="007B1327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реклама, бренд, имидж бренда, региональная реклама, рекламная деятельность.</w:t>
      </w:r>
    </w:p>
    <w:p w:rsidR="00AE02A1" w:rsidRPr="007B1327" w:rsidRDefault="00AE02A1" w:rsidP="00AE02A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2A1" w:rsidRPr="007B1327" w:rsidRDefault="00AE02A1" w:rsidP="00AE02A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>Для успешного проведения рекламной деятельности, необходимо проанализировать социально-экономические показатели региона. Опора на такой подход позволяет использовать в качестве ключевого показателя емкость потребительского рынка [1]. Это не противоречит сложившемуся традиционному этнокультурному подходу, а напротив, дополняет его. При анализе специфики региональной рекламы, специалисты учитывают возможности сверхпотребления населения.…….</w:t>
      </w:r>
    </w:p>
    <w:p w:rsidR="00AE02A1" w:rsidRPr="007B1327" w:rsidRDefault="00AE02A1" w:rsidP="00AE02A1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E02A1" w:rsidRPr="007B1327" w:rsidRDefault="00AE02A1" w:rsidP="00AE02A1">
      <w:pPr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327">
        <w:rPr>
          <w:rFonts w:ascii="Times New Roman" w:hAnsi="Times New Roman" w:cs="Times New Roman"/>
          <w:b/>
          <w:sz w:val="28"/>
          <w:szCs w:val="28"/>
        </w:rPr>
        <w:t>БИБЛИОГРАФИЧЕСКИЙ СПИСОК</w:t>
      </w:r>
    </w:p>
    <w:p w:rsidR="00AE02A1" w:rsidRPr="007B1327" w:rsidRDefault="00AE02A1" w:rsidP="00AE02A1">
      <w:pPr>
        <w:spacing w:line="240" w:lineRule="auto"/>
        <w:ind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>1. Бурлакова, Е.В.</w:t>
      </w:r>
      <w:r w:rsidRPr="007B1327">
        <w:rPr>
          <w:sz w:val="28"/>
          <w:szCs w:val="28"/>
        </w:rPr>
        <w:t xml:space="preserve"> </w:t>
      </w:r>
      <w:r w:rsidRPr="007B1327">
        <w:rPr>
          <w:rFonts w:ascii="Times New Roman" w:hAnsi="Times New Roman"/>
          <w:sz w:val="28"/>
          <w:szCs w:val="28"/>
        </w:rPr>
        <w:t>Духовное возрождение региона посредством популяризации исторических объектов / Е.В. Бурлакова, С. М. Качалова // Вестник ЛГТУ.  – 2016. – №4. – С.75-79.</w:t>
      </w:r>
    </w:p>
    <w:p w:rsidR="00AE02A1" w:rsidRPr="00AE02A1" w:rsidRDefault="00AE02A1" w:rsidP="00AE02A1">
      <w:pPr>
        <w:shd w:val="clear" w:color="auto" w:fill="FFFFFF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B1327">
        <w:rPr>
          <w:rFonts w:ascii="Times New Roman" w:hAnsi="Times New Roman"/>
          <w:sz w:val="28"/>
          <w:szCs w:val="28"/>
        </w:rPr>
        <w:t>2. Бурлакова, Е.В.</w:t>
      </w:r>
      <w:r w:rsidRPr="007B1327">
        <w:rPr>
          <w:sz w:val="28"/>
          <w:szCs w:val="28"/>
        </w:rPr>
        <w:t xml:space="preserve"> </w:t>
      </w:r>
      <w:r w:rsidRPr="007B1327">
        <w:rPr>
          <w:rFonts w:ascii="Times New Roman" w:hAnsi="Times New Roman"/>
          <w:sz w:val="28"/>
          <w:szCs w:val="28"/>
        </w:rPr>
        <w:t>Особенности формирования и продвижения бренда высшего учебного заведения (на примере Липецкого государственного технического университета) / Е.В. Бурлакова, С.М. Качалова // Научный результат.</w:t>
      </w:r>
      <w:r w:rsidRPr="007B1327">
        <w:rPr>
          <w:rFonts w:ascii="Times New Roman" w:hAnsi="Times New Roman"/>
          <w:color w:val="0070C0"/>
          <w:sz w:val="28"/>
          <w:szCs w:val="28"/>
          <w:shd w:val="clear" w:color="auto" w:fill="FFFFFF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Социальные</w:t>
      </w:r>
      <w:r w:rsidRPr="00AE02A1">
        <w:rPr>
          <w:rFonts w:ascii="Times New Roman" w:hAnsi="Times New Roman"/>
          <w:b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и</w:t>
      </w:r>
      <w:r w:rsidRPr="00AE02A1">
        <w:rPr>
          <w:rFonts w:ascii="Times New Roman" w:hAnsi="Times New Roman"/>
          <w:b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гуманитарные</w:t>
      </w:r>
      <w:r w:rsidRPr="00AE02A1">
        <w:rPr>
          <w:rFonts w:ascii="Times New Roman" w:hAnsi="Times New Roman"/>
          <w:bCs/>
          <w:sz w:val="28"/>
          <w:szCs w:val="28"/>
        </w:rPr>
        <w:t xml:space="preserve"> </w:t>
      </w:r>
      <w:r w:rsidRPr="007B1327">
        <w:rPr>
          <w:rFonts w:ascii="Times New Roman" w:hAnsi="Times New Roman"/>
          <w:bCs/>
          <w:sz w:val="28"/>
          <w:szCs w:val="28"/>
        </w:rPr>
        <w:t>исследования</w:t>
      </w:r>
      <w:r w:rsidRPr="00AE02A1">
        <w:rPr>
          <w:rFonts w:ascii="Times New Roman" w:hAnsi="Times New Roman"/>
          <w:bCs/>
          <w:sz w:val="28"/>
          <w:szCs w:val="28"/>
        </w:rPr>
        <w:t>.</w:t>
      </w:r>
      <w:r w:rsidRPr="00AE02A1">
        <w:rPr>
          <w:rFonts w:ascii="Times New Roman" w:hAnsi="Times New Roman"/>
          <w:sz w:val="28"/>
          <w:szCs w:val="28"/>
        </w:rPr>
        <w:t xml:space="preserve"> – 2016. – №4 (10) – </w:t>
      </w:r>
      <w:r w:rsidRPr="007B1327">
        <w:rPr>
          <w:rFonts w:ascii="Times New Roman" w:hAnsi="Times New Roman"/>
          <w:sz w:val="28"/>
          <w:szCs w:val="28"/>
        </w:rPr>
        <w:t>С</w:t>
      </w:r>
      <w:r w:rsidRPr="00AE02A1">
        <w:rPr>
          <w:rFonts w:ascii="Times New Roman" w:hAnsi="Times New Roman"/>
          <w:sz w:val="28"/>
          <w:szCs w:val="28"/>
        </w:rPr>
        <w:t>. 49-57.</w:t>
      </w:r>
    </w:p>
    <w:p w:rsidR="00AE02A1" w:rsidRPr="00C9639A" w:rsidRDefault="00AE02A1" w:rsidP="00B26648">
      <w:pPr>
        <w:widowControl/>
        <w:spacing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lang w:eastAsia="en-US"/>
        </w:rPr>
      </w:pPr>
    </w:p>
    <w:p w:rsidR="00B26648" w:rsidRPr="00E81C2E" w:rsidRDefault="00B26648" w:rsidP="00B26648">
      <w:pPr>
        <w:widowControl/>
        <w:shd w:val="clear" w:color="auto" w:fill="B8CCE4"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81C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Адрес оргкомитета и контактное лицо:</w:t>
      </w:r>
    </w:p>
    <w:p w:rsidR="00B26648" w:rsidRPr="001B0628" w:rsidRDefault="00B26648" w:rsidP="00B26648">
      <w:pPr>
        <w:widowControl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1B0628">
        <w:rPr>
          <w:rFonts w:ascii="Times New Roman" w:hAnsi="Times New Roman" w:cs="Times New Roman"/>
          <w:sz w:val="28"/>
          <w:szCs w:val="28"/>
        </w:rPr>
        <w:t>398055, Россия, г. Липецк, ул. Московская, 30, Липецкий государственный технический университет. Контактное лицо: Гринавцева Елена Валериевна, к.э.н., доцент кафедры экономики и финансов ЛГТУ, 8(4742) 32-82-51, e-mail: grinavtseva_ev@stu.lipetsk.ru</w:t>
      </w:r>
      <w:r w:rsidRPr="001B0628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B26648" w:rsidRPr="000C7504" w:rsidRDefault="00B26648" w:rsidP="00B26648">
      <w:pPr>
        <w:widowControl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B26648" w:rsidRDefault="00B26648" w:rsidP="00B26648">
      <w:pPr>
        <w:widowControl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E02A1" w:rsidRPr="00E81C2E" w:rsidRDefault="00AE02A1" w:rsidP="00B26648">
      <w:pPr>
        <w:widowControl/>
        <w:overflowPunct w:val="0"/>
        <w:autoSpaceDE w:val="0"/>
        <w:autoSpaceDN w:val="0"/>
        <w:adjustRightInd w:val="0"/>
        <w:spacing w:line="240" w:lineRule="auto"/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B26648" w:rsidRPr="00E81C2E" w:rsidRDefault="00B26648" w:rsidP="00B26648">
      <w:pPr>
        <w:widowControl/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81C2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БЛАГОДАРИМ ЗА ПРОЯВЛЕННЫЙ ИНТЕРЕС И НАДЕЕМСЯ</w:t>
      </w:r>
    </w:p>
    <w:p w:rsidR="000A55E3" w:rsidRDefault="00B26648" w:rsidP="00DF1F2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3FA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НА ДАЛЬНЕЙШЕЕ СОТРУДНИЧЕСТВО</w:t>
      </w:r>
    </w:p>
    <w:sectPr w:rsidR="000A55E3" w:rsidSect="007B1327">
      <w:type w:val="continuous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B6E83" w:rsidRDefault="00AB6E83" w:rsidP="00E81C2E">
      <w:pPr>
        <w:spacing w:line="240" w:lineRule="auto"/>
      </w:pPr>
      <w:r>
        <w:separator/>
      </w:r>
    </w:p>
  </w:endnote>
  <w:endnote w:type="continuationSeparator" w:id="0">
    <w:p w:rsidR="00AB6E83" w:rsidRDefault="00AB6E83" w:rsidP="00E81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B6E83" w:rsidRDefault="00AB6E83" w:rsidP="00E81C2E">
      <w:pPr>
        <w:spacing w:line="240" w:lineRule="auto"/>
      </w:pPr>
      <w:r>
        <w:separator/>
      </w:r>
    </w:p>
  </w:footnote>
  <w:footnote w:type="continuationSeparator" w:id="0">
    <w:p w:rsidR="00AB6E83" w:rsidRDefault="00AB6E83" w:rsidP="00E81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DE9"/>
    <w:multiLevelType w:val="hybridMultilevel"/>
    <w:tmpl w:val="AFD0451E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cs="Wingdings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444CDF"/>
    <w:multiLevelType w:val="hybridMultilevel"/>
    <w:tmpl w:val="D7789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443C2"/>
    <w:multiLevelType w:val="hybridMultilevel"/>
    <w:tmpl w:val="F5045352"/>
    <w:lvl w:ilvl="0" w:tplc="E4201F6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224904">
      <w:start w:val="1"/>
      <w:numFmt w:val="lowerLetter"/>
      <w:lvlText w:val="%2"/>
      <w:lvlJc w:val="left"/>
      <w:pPr>
        <w:ind w:left="1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D80CF4">
      <w:start w:val="1"/>
      <w:numFmt w:val="lowerRoman"/>
      <w:lvlText w:val="%3"/>
      <w:lvlJc w:val="left"/>
      <w:pPr>
        <w:ind w:left="2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7838FC">
      <w:start w:val="1"/>
      <w:numFmt w:val="decimal"/>
      <w:lvlText w:val="%4"/>
      <w:lvlJc w:val="left"/>
      <w:pPr>
        <w:ind w:left="3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B4138C">
      <w:start w:val="1"/>
      <w:numFmt w:val="lowerLetter"/>
      <w:lvlText w:val="%5"/>
      <w:lvlJc w:val="left"/>
      <w:pPr>
        <w:ind w:left="3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F8EA98">
      <w:start w:val="1"/>
      <w:numFmt w:val="lowerRoman"/>
      <w:lvlText w:val="%6"/>
      <w:lvlJc w:val="left"/>
      <w:pPr>
        <w:ind w:left="4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A4A0DA">
      <w:start w:val="1"/>
      <w:numFmt w:val="decimal"/>
      <w:lvlText w:val="%7"/>
      <w:lvlJc w:val="left"/>
      <w:pPr>
        <w:ind w:left="5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DC5018">
      <w:start w:val="1"/>
      <w:numFmt w:val="lowerLetter"/>
      <w:lvlText w:val="%8"/>
      <w:lvlJc w:val="left"/>
      <w:pPr>
        <w:ind w:left="6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A841A">
      <w:start w:val="1"/>
      <w:numFmt w:val="lowerRoman"/>
      <w:lvlText w:val="%9"/>
      <w:lvlJc w:val="left"/>
      <w:pPr>
        <w:ind w:left="6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3220D0"/>
    <w:multiLevelType w:val="multilevel"/>
    <w:tmpl w:val="0DD4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E6C19"/>
    <w:multiLevelType w:val="multilevel"/>
    <w:tmpl w:val="D738124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D991FE4"/>
    <w:multiLevelType w:val="hybridMultilevel"/>
    <w:tmpl w:val="33CED85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9106ADC"/>
    <w:multiLevelType w:val="hybridMultilevel"/>
    <w:tmpl w:val="06E252C2"/>
    <w:lvl w:ilvl="0" w:tplc="A6381C4C">
      <w:start w:val="1"/>
      <w:numFmt w:val="decimal"/>
      <w:suff w:val="space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52"/>
    <w:rsid w:val="00042121"/>
    <w:rsid w:val="0007537B"/>
    <w:rsid w:val="0009539D"/>
    <w:rsid w:val="000A17C9"/>
    <w:rsid w:val="000A1D6C"/>
    <w:rsid w:val="000A393C"/>
    <w:rsid w:val="000A55E3"/>
    <w:rsid w:val="000C3EF9"/>
    <w:rsid w:val="000C7504"/>
    <w:rsid w:val="000D1FA8"/>
    <w:rsid w:val="000F3841"/>
    <w:rsid w:val="001345B9"/>
    <w:rsid w:val="00136B23"/>
    <w:rsid w:val="00160A02"/>
    <w:rsid w:val="0018048B"/>
    <w:rsid w:val="00191C04"/>
    <w:rsid w:val="001B0628"/>
    <w:rsid w:val="001E27D3"/>
    <w:rsid w:val="001E6250"/>
    <w:rsid w:val="001F626C"/>
    <w:rsid w:val="001F7CFD"/>
    <w:rsid w:val="00204B76"/>
    <w:rsid w:val="002117F6"/>
    <w:rsid w:val="00212F17"/>
    <w:rsid w:val="00231FCD"/>
    <w:rsid w:val="00263F18"/>
    <w:rsid w:val="00273415"/>
    <w:rsid w:val="002A089A"/>
    <w:rsid w:val="002B18BC"/>
    <w:rsid w:val="002D1434"/>
    <w:rsid w:val="002E7801"/>
    <w:rsid w:val="00322DB7"/>
    <w:rsid w:val="00331C9E"/>
    <w:rsid w:val="00351AC1"/>
    <w:rsid w:val="00351DA9"/>
    <w:rsid w:val="0035203E"/>
    <w:rsid w:val="00372C8C"/>
    <w:rsid w:val="003A4A1C"/>
    <w:rsid w:val="003C4ADD"/>
    <w:rsid w:val="003D42CE"/>
    <w:rsid w:val="003D42D4"/>
    <w:rsid w:val="00410AAA"/>
    <w:rsid w:val="00461C2D"/>
    <w:rsid w:val="00466849"/>
    <w:rsid w:val="00492C8F"/>
    <w:rsid w:val="004F04AF"/>
    <w:rsid w:val="0050307F"/>
    <w:rsid w:val="005201A2"/>
    <w:rsid w:val="0053643E"/>
    <w:rsid w:val="00587148"/>
    <w:rsid w:val="0059474A"/>
    <w:rsid w:val="005A6975"/>
    <w:rsid w:val="005E0A2D"/>
    <w:rsid w:val="00614612"/>
    <w:rsid w:val="00617B7F"/>
    <w:rsid w:val="00627E46"/>
    <w:rsid w:val="0065149E"/>
    <w:rsid w:val="0065415F"/>
    <w:rsid w:val="00685280"/>
    <w:rsid w:val="006B3856"/>
    <w:rsid w:val="006B503B"/>
    <w:rsid w:val="006C512B"/>
    <w:rsid w:val="006D3FA3"/>
    <w:rsid w:val="0070200D"/>
    <w:rsid w:val="00715E03"/>
    <w:rsid w:val="00722668"/>
    <w:rsid w:val="007316C3"/>
    <w:rsid w:val="0073712B"/>
    <w:rsid w:val="00742FD3"/>
    <w:rsid w:val="0074609E"/>
    <w:rsid w:val="00752958"/>
    <w:rsid w:val="00755420"/>
    <w:rsid w:val="00764626"/>
    <w:rsid w:val="007909AB"/>
    <w:rsid w:val="00795D14"/>
    <w:rsid w:val="007A5359"/>
    <w:rsid w:val="007B1327"/>
    <w:rsid w:val="007B6239"/>
    <w:rsid w:val="007E0A51"/>
    <w:rsid w:val="007E3152"/>
    <w:rsid w:val="007F5A59"/>
    <w:rsid w:val="00803381"/>
    <w:rsid w:val="00821B49"/>
    <w:rsid w:val="00844760"/>
    <w:rsid w:val="00850278"/>
    <w:rsid w:val="008B2F66"/>
    <w:rsid w:val="008C4D2C"/>
    <w:rsid w:val="008C7D69"/>
    <w:rsid w:val="008E3FAD"/>
    <w:rsid w:val="009042CC"/>
    <w:rsid w:val="00925475"/>
    <w:rsid w:val="00976CA3"/>
    <w:rsid w:val="009857FA"/>
    <w:rsid w:val="009D1F63"/>
    <w:rsid w:val="009D552E"/>
    <w:rsid w:val="009F4950"/>
    <w:rsid w:val="00A2789C"/>
    <w:rsid w:val="00A27DF1"/>
    <w:rsid w:val="00A3107E"/>
    <w:rsid w:val="00A442CF"/>
    <w:rsid w:val="00A7176B"/>
    <w:rsid w:val="00A94B0D"/>
    <w:rsid w:val="00AB6E83"/>
    <w:rsid w:val="00AC6881"/>
    <w:rsid w:val="00AD1A0F"/>
    <w:rsid w:val="00AE0272"/>
    <w:rsid w:val="00AE02A1"/>
    <w:rsid w:val="00B0650E"/>
    <w:rsid w:val="00B26648"/>
    <w:rsid w:val="00B64018"/>
    <w:rsid w:val="00B80CAD"/>
    <w:rsid w:val="00BD1FC6"/>
    <w:rsid w:val="00BD4955"/>
    <w:rsid w:val="00BE23CE"/>
    <w:rsid w:val="00BF4022"/>
    <w:rsid w:val="00C058CD"/>
    <w:rsid w:val="00C30459"/>
    <w:rsid w:val="00C42167"/>
    <w:rsid w:val="00C56F09"/>
    <w:rsid w:val="00C8416E"/>
    <w:rsid w:val="00CA5C9F"/>
    <w:rsid w:val="00D01C30"/>
    <w:rsid w:val="00D047AC"/>
    <w:rsid w:val="00D05F37"/>
    <w:rsid w:val="00D162D1"/>
    <w:rsid w:val="00D2126D"/>
    <w:rsid w:val="00D24390"/>
    <w:rsid w:val="00D40B8D"/>
    <w:rsid w:val="00D53138"/>
    <w:rsid w:val="00D660B5"/>
    <w:rsid w:val="00D805BF"/>
    <w:rsid w:val="00D942EE"/>
    <w:rsid w:val="00DB0C62"/>
    <w:rsid w:val="00DB242C"/>
    <w:rsid w:val="00DC5EF4"/>
    <w:rsid w:val="00DF1F22"/>
    <w:rsid w:val="00E041B0"/>
    <w:rsid w:val="00E67ABF"/>
    <w:rsid w:val="00E74D79"/>
    <w:rsid w:val="00E81C2E"/>
    <w:rsid w:val="00EB4843"/>
    <w:rsid w:val="00ED4741"/>
    <w:rsid w:val="00EE68FE"/>
    <w:rsid w:val="00EF6C89"/>
    <w:rsid w:val="00F020E5"/>
    <w:rsid w:val="00F43D42"/>
    <w:rsid w:val="00F50D14"/>
    <w:rsid w:val="00F60BD3"/>
    <w:rsid w:val="00FB1FCD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4D6AC"/>
  <w15:docId w15:val="{72539271-1A9C-4F1C-BEAC-7E6547A3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F50D14"/>
    <w:pPr>
      <w:widowControl w:val="0"/>
      <w:spacing w:line="260" w:lineRule="auto"/>
      <w:ind w:firstLine="700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6B503B"/>
    <w:pPr>
      <w:widowControl/>
      <w:spacing w:before="100" w:beforeAutospacing="1" w:after="100" w:afterAutospacing="1" w:line="240" w:lineRule="auto"/>
      <w:ind w:firstLine="0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15E03"/>
    <w:pPr>
      <w:autoSpaceDE w:val="0"/>
      <w:autoSpaceDN w:val="0"/>
      <w:adjustRightInd w:val="0"/>
      <w:spacing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367DB"/>
    <w:rPr>
      <w:sz w:val="0"/>
      <w:szCs w:val="0"/>
    </w:rPr>
  </w:style>
  <w:style w:type="character" w:styleId="a5">
    <w:name w:val="Hyperlink"/>
    <w:uiPriority w:val="99"/>
    <w:unhideWhenUsed/>
    <w:rsid w:val="00D01C30"/>
    <w:rPr>
      <w:color w:val="0000FF"/>
      <w:u w:val="single"/>
    </w:rPr>
  </w:style>
  <w:style w:type="paragraph" w:styleId="a6">
    <w:name w:val="List Paragraph"/>
    <w:basedOn w:val="a"/>
    <w:qFormat/>
    <w:rsid w:val="009042CC"/>
    <w:pPr>
      <w:widowControl/>
      <w:spacing w:after="200" w:line="276" w:lineRule="auto"/>
      <w:ind w:left="720" w:firstLine="0"/>
      <w:contextualSpacing/>
    </w:pPr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E81C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E81C2E"/>
    <w:pPr>
      <w:widowControl/>
      <w:spacing w:line="240" w:lineRule="auto"/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E81C2E"/>
    <w:rPr>
      <w:rFonts w:asciiTheme="minorHAnsi" w:eastAsiaTheme="minorHAnsi" w:hAnsiTheme="minorHAnsi" w:cstheme="minorBidi"/>
      <w:lang w:eastAsia="en-US"/>
    </w:rPr>
  </w:style>
  <w:style w:type="character" w:styleId="aa">
    <w:name w:val="footnote reference"/>
    <w:basedOn w:val="a0"/>
    <w:uiPriority w:val="99"/>
    <w:semiHidden/>
    <w:unhideWhenUsed/>
    <w:rsid w:val="00E81C2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B503B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89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19EED-5D30-4B2D-87B4-565DCE9B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ПРЕДСТАВЛЕНИЮ ТЕЗИСОВ ДЛЯ СБОРНИКА ЛГТУ</vt:lpstr>
    </vt:vector>
  </TitlesOfParts>
  <Company>Home</Company>
  <LinksUpToDate>false</LinksUpToDate>
  <CharactersWithSpaces>8037</CharactersWithSpaces>
  <SharedDoc>false</SharedDoc>
  <HLinks>
    <vt:vector size="6" baseType="variant">
      <vt:variant>
        <vt:i4>65547</vt:i4>
      </vt:variant>
      <vt:variant>
        <vt:i4>0</vt:i4>
      </vt:variant>
      <vt:variant>
        <vt:i4>0</vt:i4>
      </vt:variant>
      <vt:variant>
        <vt:i4>5</vt:i4>
      </vt:variant>
      <vt:variant>
        <vt:lpwstr>mailto:gsf_science@rambler.ru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ПРЕДСТАВЛЕНИЮ ТЕЗИСОВ ДЛЯ СБОРНИКА ЛГТУ</dc:title>
  <dc:creator>ksm</dc:creator>
  <cp:lastModifiedBy>Виктория</cp:lastModifiedBy>
  <cp:revision>13</cp:revision>
  <cp:lastPrinted>2024-01-09T10:28:00Z</cp:lastPrinted>
  <dcterms:created xsi:type="dcterms:W3CDTF">2025-03-05T14:50:00Z</dcterms:created>
  <dcterms:modified xsi:type="dcterms:W3CDTF">2025-03-20T05:54:00Z</dcterms:modified>
</cp:coreProperties>
</file>